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723AC">
      <w:pPr>
        <w:jc w:val="center"/>
        <w:rPr>
          <w:rFonts w:hint="default" w:asciiTheme="majorAscii" w:hAnsiTheme="majorAscii"/>
          <w:b/>
          <w:bCs/>
          <w:sz w:val="44"/>
          <w:szCs w:val="44"/>
          <w:lang w:val="en-US" w:eastAsia="zh-CN"/>
        </w:rPr>
      </w:pPr>
      <w:r>
        <w:rPr>
          <w:rFonts w:hint="eastAsia" w:asciiTheme="majorAscii" w:hAnsiTheme="majorAscii"/>
          <w:b/>
          <w:bCs/>
          <w:sz w:val="44"/>
          <w:szCs w:val="44"/>
          <w:lang w:val="en-US" w:eastAsia="zh-CN"/>
        </w:rPr>
        <w:t>福建省总工会</w:t>
      </w:r>
      <w:r>
        <w:rPr>
          <w:rFonts w:hint="default" w:asciiTheme="majorAscii" w:hAnsiTheme="majorAscii"/>
          <w:b/>
          <w:bCs/>
          <w:sz w:val="44"/>
          <w:szCs w:val="44"/>
          <w:lang w:val="en-US" w:eastAsia="zh-CN"/>
        </w:rPr>
        <w:t>关于推荐参</w:t>
      </w:r>
      <w:r>
        <w:rPr>
          <w:rFonts w:hint="eastAsia" w:asciiTheme="majorAscii" w:hAnsiTheme="majorAscii"/>
          <w:b/>
          <w:bCs/>
          <w:sz w:val="44"/>
          <w:szCs w:val="44"/>
          <w:lang w:val="en-US" w:eastAsia="zh-CN"/>
        </w:rPr>
        <w:t>加2023年度福建省科学技术奖提名项目</w:t>
      </w:r>
      <w:r>
        <w:rPr>
          <w:rFonts w:hint="default" w:asciiTheme="majorAscii" w:hAnsiTheme="majorAscii"/>
          <w:b/>
          <w:bCs/>
          <w:sz w:val="44"/>
          <w:szCs w:val="44"/>
          <w:lang w:val="en-US" w:eastAsia="zh-CN"/>
        </w:rPr>
        <w:t>的公示</w:t>
      </w:r>
    </w:p>
    <w:p w14:paraId="2592AB22">
      <w:pPr>
        <w:jc w:val="center"/>
        <w:rPr>
          <w:rFonts w:hint="default" w:asciiTheme="majorAscii" w:hAnsiTheme="majorAscii"/>
          <w:b/>
          <w:bCs/>
          <w:sz w:val="44"/>
          <w:szCs w:val="44"/>
          <w:lang w:val="en-US" w:eastAsia="zh-CN"/>
        </w:rPr>
      </w:pPr>
    </w:p>
    <w:p w14:paraId="045E1C92">
      <w:pPr>
        <w:pStyle w:val="6"/>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w:t>
      </w:r>
      <w:r>
        <w:rPr>
          <w:rFonts w:hint="eastAsia" w:ascii="仿宋_GB2312" w:eastAsia="仿宋_GB2312"/>
          <w:sz w:val="32"/>
          <w:szCs w:val="32"/>
        </w:rPr>
        <w:t>福建省科学技术奖励委员会办公室</w:t>
      </w:r>
      <w:bookmarkStart w:id="0" w:name="_GoBack"/>
      <w:bookmarkEnd w:id="0"/>
      <w:r>
        <w:rPr>
          <w:rFonts w:hint="eastAsia" w:ascii="仿宋_GB2312" w:eastAsia="仿宋_GB2312"/>
          <w:sz w:val="32"/>
          <w:szCs w:val="32"/>
        </w:rPr>
        <w:t>关于2023年度福建省科学技术奖提名工作的通知</w:t>
      </w:r>
      <w:r>
        <w:rPr>
          <w:rFonts w:hint="eastAsia" w:ascii="仿宋_GB2312" w:eastAsia="仿宋_GB2312"/>
          <w:sz w:val="32"/>
          <w:szCs w:val="32"/>
          <w:lang w:val="en-US" w:eastAsia="zh-CN"/>
        </w:rPr>
        <w:t>》（</w:t>
      </w:r>
      <w:r>
        <w:rPr>
          <w:rFonts w:hint="eastAsia" w:ascii="仿宋_GB2312" w:eastAsia="仿宋_GB2312"/>
          <w:sz w:val="32"/>
          <w:szCs w:val="32"/>
        </w:rPr>
        <w:t>闽科奖办〔2024〕2号</w:t>
      </w:r>
      <w:r>
        <w:rPr>
          <w:rFonts w:hint="eastAsia" w:ascii="仿宋_GB2312" w:eastAsia="仿宋_GB2312"/>
          <w:sz w:val="32"/>
          <w:szCs w:val="32"/>
          <w:lang w:val="en-US" w:eastAsia="zh-CN"/>
        </w:rPr>
        <w:t>）要求，</w:t>
      </w:r>
      <w:r>
        <w:rPr>
          <w:rFonts w:hint="eastAsia" w:ascii="仿宋_GB2312" w:eastAsia="仿宋_GB2312"/>
          <w:sz w:val="32"/>
          <w:szCs w:val="32"/>
        </w:rPr>
        <w:t>现将福建省总</w:t>
      </w:r>
      <w:r>
        <w:rPr>
          <w:rFonts w:hint="eastAsia" w:ascii="仿宋_GB2312" w:eastAsia="仿宋_GB2312"/>
          <w:sz w:val="32"/>
          <w:szCs w:val="32"/>
          <w:lang w:val="en-US" w:eastAsia="zh-CN"/>
        </w:rPr>
        <w:t>工会</w:t>
      </w:r>
      <w:r>
        <w:rPr>
          <w:rFonts w:hint="default" w:ascii="仿宋_GB2312" w:eastAsia="仿宋_GB2312"/>
          <w:sz w:val="32"/>
          <w:szCs w:val="32"/>
          <w:lang w:val="en-US" w:eastAsia="zh-CN"/>
        </w:rPr>
        <w:t>推荐参</w:t>
      </w:r>
      <w:r>
        <w:rPr>
          <w:rFonts w:hint="eastAsia" w:ascii="仿宋_GB2312" w:eastAsia="仿宋_GB2312"/>
          <w:sz w:val="32"/>
          <w:szCs w:val="32"/>
          <w:lang w:val="en-US" w:eastAsia="zh-CN"/>
        </w:rPr>
        <w:t>加</w:t>
      </w:r>
      <w:r>
        <w:rPr>
          <w:rFonts w:hint="eastAsia" w:ascii="仿宋_GB2312" w:eastAsia="仿宋_GB2312"/>
          <w:sz w:val="32"/>
          <w:szCs w:val="32"/>
        </w:rPr>
        <w:t>2023年度福建省科学技术奖提名</w:t>
      </w:r>
      <w:r>
        <w:rPr>
          <w:rFonts w:hint="eastAsia" w:ascii="仿宋_GB2312" w:eastAsia="仿宋_GB2312"/>
          <w:sz w:val="32"/>
          <w:szCs w:val="32"/>
          <w:lang w:val="en-US" w:eastAsia="zh-CN"/>
        </w:rPr>
        <w:t>的</w:t>
      </w:r>
      <w:r>
        <w:rPr>
          <w:rFonts w:hint="default" w:ascii="仿宋_GB2312" w:eastAsia="仿宋_GB2312"/>
          <w:sz w:val="32"/>
          <w:szCs w:val="32"/>
          <w:lang w:val="en-US" w:eastAsia="zh-CN"/>
        </w:rPr>
        <w:t>项目</w:t>
      </w:r>
      <w:r>
        <w:rPr>
          <w:rFonts w:hint="eastAsia" w:ascii="仿宋_GB2312" w:eastAsia="仿宋_GB2312"/>
          <w:sz w:val="32"/>
          <w:szCs w:val="32"/>
          <w:lang w:val="en-US" w:eastAsia="zh-CN"/>
        </w:rPr>
        <w:t>予以公</w:t>
      </w:r>
      <w:r>
        <w:rPr>
          <w:rFonts w:hint="eastAsia" w:ascii="仿宋_GB2312" w:eastAsia="仿宋_GB2312"/>
          <w:sz w:val="32"/>
          <w:szCs w:val="32"/>
        </w:rPr>
        <w:t>示（见附件），如有异议，请在公示期内电来函反馈。</w:t>
      </w:r>
    </w:p>
    <w:p w14:paraId="0534A4D2">
      <w:pPr>
        <w:pStyle w:val="6"/>
        <w:rPr>
          <w:rFonts w:hint="eastAsia" w:ascii="仿宋_GB2312" w:eastAsia="仿宋_GB2312"/>
          <w:sz w:val="32"/>
          <w:szCs w:val="32"/>
        </w:rPr>
      </w:pPr>
    </w:p>
    <w:p w14:paraId="02818E86">
      <w:pPr>
        <w:pStyle w:val="6"/>
        <w:rPr>
          <w:rFonts w:hint="eastAsia" w:ascii="仿宋_GB2312" w:eastAsia="仿宋_GB2312"/>
          <w:sz w:val="32"/>
          <w:szCs w:val="32"/>
        </w:rPr>
      </w:pPr>
      <w:r>
        <w:rPr>
          <w:rFonts w:hint="eastAsia" w:ascii="仿宋_GB2312" w:eastAsia="仿宋_GB2312"/>
          <w:sz w:val="32"/>
          <w:szCs w:val="32"/>
        </w:rPr>
        <w:t>公示时间：20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日至</w:t>
      </w:r>
      <w:r>
        <w:rPr>
          <w:rFonts w:hint="eastAsia" w:ascii="仿宋_GB2312" w:eastAsia="仿宋_GB2312"/>
          <w:sz w:val="32"/>
          <w:szCs w:val="32"/>
          <w:lang w:val="en-US" w:eastAsia="zh-CN"/>
        </w:rPr>
        <w:t>14</w:t>
      </w:r>
      <w:r>
        <w:rPr>
          <w:rFonts w:hint="eastAsia" w:ascii="仿宋_GB2312" w:eastAsia="仿宋_GB2312"/>
          <w:sz w:val="32"/>
          <w:szCs w:val="32"/>
        </w:rPr>
        <w:t>日。</w:t>
      </w:r>
    </w:p>
    <w:p w14:paraId="7A51D745">
      <w:pPr>
        <w:pStyle w:val="6"/>
        <w:rPr>
          <w:rFonts w:hint="eastAsia" w:ascii="仿宋_GB2312" w:eastAsia="仿宋_GB2312"/>
          <w:sz w:val="32"/>
          <w:szCs w:val="32"/>
        </w:rPr>
      </w:pPr>
      <w:r>
        <w:rPr>
          <w:rFonts w:hint="eastAsia" w:ascii="仿宋_GB2312" w:eastAsia="仿宋_GB2312"/>
          <w:sz w:val="32"/>
          <w:szCs w:val="32"/>
        </w:rPr>
        <w:t>公示电话：0591-877</w:t>
      </w:r>
      <w:r>
        <w:rPr>
          <w:rFonts w:hint="eastAsia" w:ascii="仿宋_GB2312" w:eastAsia="仿宋_GB2312"/>
          <w:sz w:val="32"/>
          <w:szCs w:val="32"/>
          <w:lang w:val="en-US" w:eastAsia="zh-CN"/>
        </w:rPr>
        <w:t>13605</w:t>
      </w:r>
      <w:r>
        <w:rPr>
          <w:rFonts w:hint="eastAsia" w:ascii="仿宋_GB2312" w:eastAsia="仿宋_GB2312"/>
          <w:sz w:val="32"/>
          <w:szCs w:val="32"/>
        </w:rPr>
        <w:t>，</w:t>
      </w:r>
      <w:r>
        <w:rPr>
          <w:rFonts w:hint="eastAsia" w:ascii="仿宋_GB2312" w:eastAsia="仿宋_GB2312"/>
          <w:sz w:val="32"/>
          <w:szCs w:val="32"/>
          <w:lang w:val="en-US" w:eastAsia="zh-CN"/>
        </w:rPr>
        <w:t>0591—</w:t>
      </w:r>
      <w:r>
        <w:rPr>
          <w:rFonts w:hint="eastAsia" w:ascii="仿宋_GB2312" w:eastAsia="仿宋_GB2312"/>
          <w:sz w:val="32"/>
          <w:szCs w:val="32"/>
        </w:rPr>
        <w:t>877</w:t>
      </w:r>
      <w:r>
        <w:rPr>
          <w:rFonts w:hint="eastAsia" w:ascii="仿宋_GB2312" w:eastAsia="仿宋_GB2312"/>
          <w:sz w:val="32"/>
          <w:szCs w:val="32"/>
          <w:lang w:val="en-US" w:eastAsia="zh-CN"/>
        </w:rPr>
        <w:t>13605</w:t>
      </w:r>
      <w:r>
        <w:rPr>
          <w:rFonts w:hint="eastAsia" w:ascii="仿宋_GB2312" w:eastAsia="仿宋_GB2312"/>
          <w:sz w:val="32"/>
          <w:szCs w:val="32"/>
        </w:rPr>
        <w:t>（传真）</w:t>
      </w:r>
      <w:r>
        <w:rPr>
          <w:rFonts w:hint="eastAsia" w:ascii="仿宋_GB2312" w:eastAsia="仿宋_GB2312"/>
          <w:sz w:val="32"/>
          <w:szCs w:val="32"/>
        </w:rPr>
        <w:br w:type="textWrapping"/>
      </w:r>
      <w:r>
        <w:rPr>
          <w:rFonts w:hint="eastAsia" w:ascii="仿宋_GB2312" w:eastAsia="仿宋_GB2312"/>
          <w:sz w:val="32"/>
          <w:szCs w:val="32"/>
        </w:rPr>
        <w:t>来访来电时间：上午8:00—12:00，下午2:30—5:30</w:t>
      </w:r>
      <w:r>
        <w:rPr>
          <w:rFonts w:hint="eastAsia" w:ascii="仿宋_GB2312" w:eastAsia="仿宋_GB2312"/>
          <w:sz w:val="32"/>
          <w:szCs w:val="32"/>
        </w:rPr>
        <w:br w:type="textWrapping"/>
      </w:r>
      <w:r>
        <w:rPr>
          <w:rFonts w:hint="eastAsia" w:ascii="仿宋_GB2312" w:eastAsia="仿宋_GB2312"/>
          <w:sz w:val="32"/>
          <w:szCs w:val="32"/>
        </w:rPr>
        <w:t>（公示期间的工作日）</w:t>
      </w:r>
      <w:r>
        <w:rPr>
          <w:rFonts w:hint="eastAsia" w:ascii="仿宋_GB2312" w:eastAsia="仿宋_GB2312"/>
          <w:sz w:val="32"/>
          <w:szCs w:val="32"/>
        </w:rPr>
        <w:br w:type="textWrapping"/>
      </w:r>
      <w:r>
        <w:rPr>
          <w:rFonts w:hint="eastAsia" w:ascii="仿宋_GB2312" w:eastAsia="仿宋_GB2312"/>
          <w:sz w:val="32"/>
          <w:szCs w:val="32"/>
        </w:rPr>
        <w:t xml:space="preserve">来信投递：福建省总工会劳动和经技工作部  </w:t>
      </w:r>
    </w:p>
    <w:p w14:paraId="23DCF3B7">
      <w:pPr>
        <w:pStyle w:val="6"/>
        <w:rPr>
          <w:rFonts w:hint="eastAsia" w:ascii="仿宋_GB2312" w:eastAsia="仿宋_GB2312"/>
          <w:sz w:val="32"/>
          <w:szCs w:val="32"/>
        </w:rPr>
      </w:pPr>
      <w:r>
        <w:rPr>
          <w:rFonts w:hint="eastAsia" w:ascii="仿宋_GB2312" w:eastAsia="仿宋_GB2312"/>
          <w:sz w:val="32"/>
          <w:szCs w:val="32"/>
        </w:rPr>
        <w:t>邮政编码：350003</w:t>
      </w:r>
    </w:p>
    <w:p w14:paraId="72AFB765">
      <w:pPr>
        <w:pStyle w:val="6"/>
        <w:rPr>
          <w:rFonts w:hint="eastAsia" w:ascii="仿宋_GB2312" w:eastAsia="仿宋_GB2312"/>
          <w:sz w:val="32"/>
          <w:szCs w:val="32"/>
        </w:rPr>
      </w:pPr>
    </w:p>
    <w:p w14:paraId="30FC8376">
      <w:pPr>
        <w:pStyle w:val="6"/>
        <w:rPr>
          <w:rFonts w:hint="eastAsia" w:ascii="仿宋_GB2312" w:eastAsia="仿宋_GB2312"/>
          <w:sz w:val="32"/>
          <w:szCs w:val="32"/>
          <w:lang w:val="en-US" w:eastAsia="zh-CN"/>
        </w:rPr>
      </w:pPr>
      <w:r>
        <w:rPr>
          <w:rFonts w:hint="eastAsia" w:ascii="仿宋_GB2312" w:eastAsia="仿宋_GB2312"/>
          <w:sz w:val="32"/>
          <w:szCs w:val="32"/>
          <w:lang w:val="en-US" w:eastAsia="zh-CN"/>
        </w:rPr>
        <w:t>附件：2023年度福建省科学技术奖拟推荐名单</w:t>
      </w:r>
    </w:p>
    <w:p w14:paraId="6EFFBD1B">
      <w:pPr>
        <w:pStyle w:val="6"/>
        <w:rPr>
          <w:rFonts w:hint="eastAsia" w:ascii="仿宋" w:hAnsi="仿宋" w:eastAsia="仿宋" w:cs="仿宋"/>
          <w:spacing w:val="-10"/>
          <w:sz w:val="32"/>
          <w:szCs w:val="32"/>
          <w:lang w:val="en-US" w:eastAsia="zh-CN"/>
        </w:rPr>
      </w:pPr>
    </w:p>
    <w:p w14:paraId="3636B682">
      <w:pPr>
        <w:pStyle w:val="6"/>
        <w:rPr>
          <w:rFonts w:hint="eastAsia" w:ascii="仿宋" w:hAnsi="仿宋" w:eastAsia="仿宋" w:cs="仿宋"/>
          <w:spacing w:val="-10"/>
          <w:sz w:val="32"/>
          <w:szCs w:val="32"/>
          <w:lang w:val="en-US" w:eastAsia="zh-CN"/>
        </w:rPr>
      </w:pPr>
    </w:p>
    <w:p w14:paraId="3AEC58BA">
      <w:pPr>
        <w:pStyle w:val="6"/>
        <w:rPr>
          <w:rFonts w:hint="eastAsia" w:ascii="仿宋" w:hAnsi="仿宋" w:eastAsia="仿宋" w:cs="仿宋"/>
          <w:spacing w:val="-10"/>
          <w:sz w:val="32"/>
          <w:szCs w:val="32"/>
          <w:lang w:val="en-US" w:eastAsia="zh-CN"/>
        </w:rPr>
      </w:pPr>
    </w:p>
    <w:p w14:paraId="7B233AF3">
      <w:pPr>
        <w:pStyle w:val="6"/>
        <w:rPr>
          <w:rFonts w:hint="eastAsia" w:ascii="仿宋" w:hAnsi="仿宋" w:eastAsia="仿宋" w:cs="仿宋"/>
          <w:spacing w:val="-10"/>
          <w:sz w:val="32"/>
          <w:szCs w:val="32"/>
          <w:lang w:val="en-US" w:eastAsia="zh-CN"/>
        </w:rPr>
      </w:pPr>
    </w:p>
    <w:p w14:paraId="39425EC6">
      <w:pPr>
        <w:pStyle w:val="6"/>
        <w:rPr>
          <w:rFonts w:hint="eastAsia" w:ascii="仿宋" w:hAnsi="仿宋" w:eastAsia="仿宋" w:cs="仿宋"/>
          <w:spacing w:val="-10"/>
          <w:sz w:val="32"/>
          <w:szCs w:val="32"/>
          <w:lang w:val="en-US" w:eastAsia="zh-CN"/>
        </w:rPr>
        <w:sectPr>
          <w:pgSz w:w="11906" w:h="16838"/>
          <w:pgMar w:top="1440" w:right="1800" w:bottom="1440" w:left="1800" w:header="851" w:footer="992" w:gutter="0"/>
          <w:cols w:space="425" w:num="1"/>
          <w:docGrid w:type="lines" w:linePitch="312" w:charSpace="0"/>
        </w:sectPr>
      </w:pPr>
    </w:p>
    <w:p w14:paraId="55605186">
      <w:pPr>
        <w:pStyle w:val="6"/>
        <w:rPr>
          <w:rFonts w:hint="default" w:ascii="仿宋" w:hAnsi="仿宋" w:eastAsia="仿宋" w:cs="仿宋"/>
          <w:spacing w:val="-10"/>
          <w:sz w:val="32"/>
          <w:szCs w:val="32"/>
          <w:lang w:val="en-US" w:eastAsia="zh-CN"/>
        </w:rPr>
      </w:pPr>
      <w:r>
        <w:rPr>
          <w:rFonts w:hint="eastAsia" w:ascii="仿宋" w:hAnsi="仿宋" w:eastAsia="仿宋" w:cs="仿宋"/>
          <w:spacing w:val="-10"/>
          <w:sz w:val="32"/>
          <w:szCs w:val="32"/>
          <w:lang w:val="en-US" w:eastAsia="zh-CN"/>
        </w:rPr>
        <w:t>附件</w:t>
      </w:r>
    </w:p>
    <w:p w14:paraId="484A0868">
      <w:pPr>
        <w:pStyle w:val="6"/>
        <w:ind w:right="640"/>
        <w:jc w:val="center"/>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2023年度福建省科学技术奖</w:t>
      </w:r>
      <w:r>
        <w:rPr>
          <w:rFonts w:hint="eastAsia" w:ascii="宋体" w:hAnsi="宋体" w:cs="宋体"/>
          <w:b/>
          <w:bCs/>
          <w:sz w:val="44"/>
          <w:szCs w:val="44"/>
          <w:lang w:val="en-US" w:eastAsia="zh-CN"/>
        </w:rPr>
        <w:t>拟</w:t>
      </w:r>
      <w:r>
        <w:rPr>
          <w:rFonts w:hint="eastAsia" w:ascii="宋体" w:hAnsi="宋体" w:eastAsia="宋体" w:cs="宋体"/>
          <w:b/>
          <w:bCs/>
          <w:sz w:val="44"/>
          <w:szCs w:val="44"/>
          <w:lang w:val="en-US" w:eastAsia="zh-CN"/>
        </w:rPr>
        <w:t>推荐名单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069"/>
        <w:gridCol w:w="1515"/>
        <w:gridCol w:w="1862"/>
        <w:gridCol w:w="1795"/>
        <w:gridCol w:w="3870"/>
        <w:gridCol w:w="2377"/>
        <w:gridCol w:w="1071"/>
      </w:tblGrid>
      <w:tr w14:paraId="5ACF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1" w:type="dxa"/>
            <w:noWrap w:val="0"/>
            <w:vAlign w:val="center"/>
          </w:tcPr>
          <w:p w14:paraId="5DD70330">
            <w:pPr>
              <w:pStyle w:val="6"/>
              <w:ind w:right="0" w:rightChars="0"/>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1069" w:type="dxa"/>
            <w:noWrap w:val="0"/>
            <w:vAlign w:val="center"/>
          </w:tcPr>
          <w:p w14:paraId="15C5AA74">
            <w:pPr>
              <w:pStyle w:val="6"/>
              <w:ind w:right="0" w:rightChars="0"/>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项目名称</w:t>
            </w:r>
          </w:p>
        </w:tc>
        <w:tc>
          <w:tcPr>
            <w:tcW w:w="1515" w:type="dxa"/>
            <w:noWrap w:val="0"/>
            <w:vAlign w:val="center"/>
          </w:tcPr>
          <w:p w14:paraId="04244414">
            <w:pPr>
              <w:pStyle w:val="6"/>
              <w:ind w:right="0" w:rightChars="0"/>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提名推荐奖种</w:t>
            </w:r>
          </w:p>
        </w:tc>
        <w:tc>
          <w:tcPr>
            <w:tcW w:w="1862" w:type="dxa"/>
            <w:noWrap w:val="0"/>
            <w:vAlign w:val="center"/>
          </w:tcPr>
          <w:p w14:paraId="7DF67942">
            <w:pPr>
              <w:pStyle w:val="6"/>
              <w:ind w:right="0" w:rightChars="0"/>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主要完成单位</w:t>
            </w:r>
          </w:p>
        </w:tc>
        <w:tc>
          <w:tcPr>
            <w:tcW w:w="1795" w:type="dxa"/>
            <w:noWrap w:val="0"/>
            <w:vAlign w:val="center"/>
          </w:tcPr>
          <w:p w14:paraId="379A9C6F">
            <w:pPr>
              <w:pStyle w:val="6"/>
              <w:ind w:right="0" w:rightChars="0"/>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主要完成人及贡献</w:t>
            </w:r>
          </w:p>
        </w:tc>
        <w:tc>
          <w:tcPr>
            <w:tcW w:w="3870" w:type="dxa"/>
            <w:noWrap w:val="0"/>
            <w:vAlign w:val="center"/>
          </w:tcPr>
          <w:p w14:paraId="0EE487D5">
            <w:pPr>
              <w:pStyle w:val="6"/>
              <w:ind w:right="0" w:rightChars="0"/>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项目简介</w:t>
            </w:r>
          </w:p>
        </w:tc>
        <w:tc>
          <w:tcPr>
            <w:tcW w:w="2377" w:type="dxa"/>
            <w:noWrap w:val="0"/>
            <w:vAlign w:val="center"/>
          </w:tcPr>
          <w:p w14:paraId="76ACA025">
            <w:pPr>
              <w:pStyle w:val="6"/>
              <w:ind w:right="0" w:rightChars="0"/>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主要知识产权及代表性论文专著等支撑材料目录</w:t>
            </w:r>
          </w:p>
        </w:tc>
        <w:tc>
          <w:tcPr>
            <w:tcW w:w="1071" w:type="dxa"/>
            <w:noWrap w:val="0"/>
            <w:vAlign w:val="center"/>
          </w:tcPr>
          <w:p w14:paraId="0A9D0A72">
            <w:pPr>
              <w:pStyle w:val="6"/>
              <w:ind w:right="0" w:rightChars="0"/>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提名单位</w:t>
            </w:r>
          </w:p>
        </w:tc>
      </w:tr>
      <w:tr w14:paraId="36DA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11" w:type="dxa"/>
            <w:noWrap w:val="0"/>
            <w:vAlign w:val="center"/>
          </w:tcPr>
          <w:p w14:paraId="5A366ABE">
            <w:pPr>
              <w:pStyle w:val="6"/>
              <w:ind w:right="0" w:right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069" w:type="dxa"/>
            <w:noWrap w:val="0"/>
            <w:vAlign w:val="center"/>
          </w:tcPr>
          <w:p w14:paraId="4B94BBBA">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重金属污染场地土壤-地下水污染协同防治关键技术及应用</w:t>
            </w:r>
          </w:p>
        </w:tc>
        <w:tc>
          <w:tcPr>
            <w:tcW w:w="1515" w:type="dxa"/>
            <w:noWrap w:val="0"/>
            <w:vAlign w:val="center"/>
          </w:tcPr>
          <w:p w14:paraId="79A5459A">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科学技术进步奖</w:t>
            </w:r>
          </w:p>
        </w:tc>
        <w:tc>
          <w:tcPr>
            <w:tcW w:w="1862" w:type="dxa"/>
            <w:noWrap w:val="0"/>
            <w:vAlign w:val="center"/>
          </w:tcPr>
          <w:p w14:paraId="6CA11725">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福建省环境保护设计院有限公司、中国地质大学（武汉）、福建省融旗建设工程有限公司、厦门特房建设工程集团有限公司、福州城建设计研究院有限公司、福建联美建设集团有限公司、厦门大学建筑设计研究院有限公司、福州建工集团有限公司</w:t>
            </w:r>
          </w:p>
        </w:tc>
        <w:tc>
          <w:tcPr>
            <w:tcW w:w="1795" w:type="dxa"/>
            <w:noWrap w:val="0"/>
            <w:vAlign w:val="top"/>
          </w:tcPr>
          <w:p w14:paraId="38D65315">
            <w:pPr>
              <w:pStyle w:val="6"/>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涂德贵，提出了本项目的整体理论框架，对创新点1、2做出了贡献，创新发明了涉重场地土壤-地下水铬污染固化稳定化修复药剂，攻克了高碱性条件下铬难修复和易反弹的技术难题，提高土壤-地下水污染场地重金属污染的修复性能，主持《一种工业废水污泥深度脱水的处理方法以及处理装置》等3项发明专利研发工作。</w:t>
            </w:r>
          </w:p>
          <w:p w14:paraId="066D2CA8">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2、谢先军，构建了土壤-地下水协同防控理论体系，对创新点1、2、3做出了贡献，主持国家自然科学基金项目，组织开展相关试验，主持研发《一种 Fe 型树脂离子交换处理高硬度高砷地下水的方法》等3项发明、实用新型专利。</w:t>
            </w:r>
          </w:p>
          <w:p w14:paraId="44A445F1">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3、肖友淦，对创新点3做出了贡献，主持设计了多参数土壤-地下水分层原位监测系统，实现土壤-地下水的协同分层监测，取得了良好的应用效果。</w:t>
            </w:r>
          </w:p>
          <w:p w14:paraId="0A68321F">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4、巫庆明，组织了本项目中的技术在涉重场地土壤-地下水防治中的工程应用，并是产学研合作的重要推动人员，推动了基于分层原位监测系统和高压注浆联合施工技术在涉重场地土壤-地下水防治中的应用。</w:t>
            </w:r>
          </w:p>
          <w:p w14:paraId="058D110E">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5、吕钦飞，对创新点3做出了贡献，主持了3项省部级工法研发，组织了本项目中的技术在工程中的应用。</w:t>
            </w:r>
          </w:p>
          <w:p w14:paraId="7D85D69D">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6、许翔，对创新点3做出了贡献，主持《一种用于污染地下水修复的可渗透反应排水井》等2项实用新型专利研发工作。</w:t>
            </w:r>
          </w:p>
          <w:p w14:paraId="010788A4">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7、李立新，提出了基于分层原位监测系统和高压注浆联合施工技术的土壤-地下水跨介质“施工-监测”一体化技术体系，并参与了本项目相关设备研发。</w:t>
            </w:r>
          </w:p>
          <w:p w14:paraId="39881508">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8、刘志业，将本项目重金属污染场地土壤-地下水污染协同防治技术应用到了实际工程应用中，取得了很好的经济效益与社会效益。</w:t>
            </w:r>
          </w:p>
          <w:p w14:paraId="3E6076DA">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9、朱剑钦，将本项目重金属污染场地土壤-地下水污染协同防治技术应用到了实际工程应用中，取得了很好的经济效益与社会效益。</w:t>
            </w:r>
          </w:p>
          <w:p w14:paraId="15C43802">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10、王志强，将本项目重金属污染场地土壤-地下水污染协同防治技术应用到了实际工程应用中，取得了很好的经济效益与社会效益。</w:t>
            </w:r>
          </w:p>
        </w:tc>
        <w:tc>
          <w:tcPr>
            <w:tcW w:w="3870" w:type="dxa"/>
            <w:noWrap w:val="0"/>
            <w:vAlign w:val="top"/>
          </w:tcPr>
          <w:p w14:paraId="5E0F460E">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我国涉及重金属污染场地（以下简称“涉重场地”）的土壤-地下水污染过程是一个多源头、多路径、多介质、多因素的复杂过程。基于涉重场地土壤-地下水污染协同防治的实际需求和技术瓶颈，依托国家重大专项、国家自然科学基金和省部级科技计划等项目，紧扣上述三大瓶颈问题，开展了涉重场地土壤-地下水协同防治关键技术研究，研发了涉重场地重金属污染物广谱型修复材料、长效性修复工艺、协同化施工监测技术三大关键技术。项目成果应用效益显著，成果广泛应用于京津冀、江苏、湖南、福建等地区的100余项土壤与地下水修复工程，累计效益利润9210.19万元。</w:t>
            </w:r>
          </w:p>
        </w:tc>
        <w:tc>
          <w:tcPr>
            <w:tcW w:w="2377" w:type="dxa"/>
            <w:noWrap w:val="0"/>
            <w:vAlign w:val="top"/>
          </w:tcPr>
          <w:p w14:paraId="5FD3CB39">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1、发明专利，一种 Fe 型树脂离子交换处理高硬度高砷地下水的方法，ZL201710935460.7</w:t>
            </w:r>
          </w:p>
          <w:p w14:paraId="68BB8E44">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2、发明专利，一种工业废水污泥深度脱水的处理方法以及处理装置，ZL 2021 1 0814901.4。</w:t>
            </w:r>
          </w:p>
          <w:p w14:paraId="51DC867C">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3、发明专利，一种模拟高砷地下水灌溉对地下水环境影响的实验装置，ZL20171 0740758.2。</w:t>
            </w:r>
          </w:p>
          <w:p w14:paraId="511CA85B">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4、发明专利，一种高盐度工业废水深度处理回用工艺，ZL 202111176357.1。</w:t>
            </w:r>
          </w:p>
          <w:p w14:paraId="2E5396B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5、发明专利，一种处理土壤修复工艺废水的微生物菌剂的制备方法，ZL20201 0268646.3。</w:t>
            </w:r>
          </w:p>
          <w:p w14:paraId="10F60D90">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6、发明专利，一种修复六价铬污染土壤的修复剂及使用其修复六价铬污染土壤的方法，ZL20201 0563301.0。</w:t>
            </w:r>
          </w:p>
          <w:p w14:paraId="77012ECA">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7、发明专利，一种基于菱铁矿滤料的原位除砷单井，ZL 2014 1 0123154.X。</w:t>
            </w:r>
          </w:p>
          <w:p w14:paraId="6C6B4F95">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8、实用新型，一种用于污染地下水修复的可渗透反应排水井，ZL 202321792979.1。</w:t>
            </w:r>
          </w:p>
          <w:p w14:paraId="4C6B3BD7">
            <w:pPr>
              <w:pStyle w:val="6"/>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9、实用新型，一种组合式采样系统，ZL 2023 2 0042721.3。</w:t>
            </w:r>
          </w:p>
          <w:p w14:paraId="615FB54D">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vertAlign w:val="baseline"/>
                <w:lang w:val="en-US" w:eastAsia="zh-CN"/>
              </w:rPr>
              <w:t>10、</w:t>
            </w:r>
            <w:r>
              <w:rPr>
                <w:rFonts w:hint="default" w:ascii="仿宋_GB2312" w:hAnsi="仿宋_GB2312" w:eastAsia="仿宋_GB2312" w:cs="仿宋_GB2312"/>
                <w:sz w:val="24"/>
                <w:szCs w:val="24"/>
                <w:vertAlign w:val="baseline"/>
                <w:lang w:val="en-US" w:eastAsia="zh-CN"/>
              </w:rPr>
              <w:t>软件著作权</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士壤污染修复工程建设及管理系统V1.0</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软著登字第6381712号</w:t>
            </w:r>
            <w:r>
              <w:rPr>
                <w:rFonts w:hint="eastAsia" w:ascii="仿宋_GB2312" w:hAnsi="仿宋_GB2312" w:eastAsia="仿宋_GB2312" w:cs="仿宋_GB2312"/>
                <w:sz w:val="24"/>
                <w:szCs w:val="24"/>
                <w:vertAlign w:val="baseline"/>
                <w:lang w:val="en-US" w:eastAsia="zh-CN"/>
              </w:rPr>
              <w:t>。</w:t>
            </w:r>
          </w:p>
        </w:tc>
        <w:tc>
          <w:tcPr>
            <w:tcW w:w="1071" w:type="dxa"/>
            <w:noWrap w:val="0"/>
            <w:vAlign w:val="top"/>
          </w:tcPr>
          <w:p w14:paraId="005573AA">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p>
          <w:p w14:paraId="6AD6D938">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p>
          <w:p w14:paraId="430D1427">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p>
          <w:p w14:paraId="6156AC91">
            <w:pPr>
              <w:pStyle w:val="6"/>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福建省</w:t>
            </w:r>
            <w:r>
              <w:rPr>
                <w:rFonts w:hint="eastAsia" w:ascii="仿宋_GB2312" w:hAnsi="仿宋_GB2312" w:eastAsia="仿宋_GB2312" w:cs="仿宋_GB2312"/>
                <w:sz w:val="28"/>
                <w:szCs w:val="28"/>
                <w:vertAlign w:val="baseline"/>
                <w:lang w:val="en-US" w:eastAsia="zh-CN"/>
              </w:rPr>
              <w:br w:type="textWrapping"/>
            </w:r>
            <w:r>
              <w:rPr>
                <w:rFonts w:hint="eastAsia" w:ascii="仿宋_GB2312" w:hAnsi="仿宋_GB2312" w:eastAsia="仿宋_GB2312" w:cs="仿宋_GB2312"/>
                <w:sz w:val="28"/>
                <w:szCs w:val="28"/>
                <w:vertAlign w:val="baseline"/>
                <w:lang w:val="en-US" w:eastAsia="zh-CN"/>
              </w:rPr>
              <w:t>总工会</w:t>
            </w:r>
          </w:p>
        </w:tc>
      </w:tr>
    </w:tbl>
    <w:p w14:paraId="457625A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DBA16"/>
    <w:multiLevelType w:val="singleLevel"/>
    <w:tmpl w:val="694DBA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GY5ZWI1ZmRhYjMzM2M2OGRhYjI0NDgyMjExYzAifQ=="/>
  </w:docVars>
  <w:rsids>
    <w:rsidRoot w:val="3ACA759A"/>
    <w:rsid w:val="10011428"/>
    <w:rsid w:val="158D2C28"/>
    <w:rsid w:val="3ACA759A"/>
    <w:rsid w:val="70E4110D"/>
    <w:rsid w:val="75660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1791</Words>
  <Characters>1995</Characters>
  <Lines>0</Lines>
  <Paragraphs>0</Paragraphs>
  <TotalTime>0</TotalTime>
  <ScaleCrop>false</ScaleCrop>
  <LinksUpToDate>false</LinksUpToDate>
  <CharactersWithSpaces>2015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2024-08-07T08:47:00Z</dcterms:created>
  <dc:creator>Yxin.。</dc:creator>
  <cp:lastModifiedBy>Yxin.。</cp:lastModifiedBy>
  <dcterms:modified xsi:type="dcterms:W3CDTF">2024-08-08T01:18:29Z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B5A1E0ACC4224394BC5140073BC8F57B_11</vt:lpwstr>
  </property>
</Properties>
</file>